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  <w:szCs w:val="27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Закон Новосибирской области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>
        <w:rPr>
          <w:b/>
          <w:bCs/>
          <w:szCs w:val="27"/>
        </w:rPr>
        <w:t xml:space="preserve">»</w:t>
      </w:r>
      <w:r>
        <w:rPr>
          <w:b/>
          <w:szCs w:val="28"/>
        </w:rPr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jc w:val="both"/>
      </w:pPr>
      <w:r>
        <w:t xml:space="preserve"> </w:t>
      </w:r>
      <w:r/>
    </w:p>
    <w:p>
      <w:pPr>
        <w:ind w:firstLine="709"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Ф</w:t>
      </w:r>
      <w:r>
        <w:rPr>
          <w:highlight w:val="none"/>
        </w:rPr>
        <w:t xml:space="preserve">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утратил силу с 1 января 2023 года на основании пункта 1 части 3 статьи 64 Федерального закон</w:t>
      </w:r>
      <w:r>
        <w:rPr>
          <w:highlight w:val="none"/>
        </w:rPr>
        <w:t xml:space="preserve">а от 21 декабря 2021 года № 414-ФЗ          «Об общих принципах организации публичной власти в субъектах Российской Федерации» </w:t>
      </w:r>
      <w:r>
        <w:t xml:space="preserve">(далее – Федеральный закон </w:t>
      </w:r>
      <w:r>
        <w:t xml:space="preserve">№ </w:t>
      </w:r>
      <w:r>
        <w:t xml:space="preserve">414-ФЗ)</w:t>
      </w:r>
      <w:r>
        <w:rPr>
          <w:highlight w:val="none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Действующее регулирование предусматривает, что к полномочиям органов государственной власти субъекта Российской Федерации по предметам </w:t>
      </w:r>
      <w:r>
        <w:rPr>
          <w:highlight w:val="none"/>
        </w:rPr>
        <w:t xml:space="preserve">совместного ведения Российской Федерации и ее субъектов, осуществляемым данными органами самостоятельно за счет средств бюджета субъекта Российской Федерации (кроме субвенций из федерального бюджета), относятся, в частности: организация </w:t>
      </w:r>
      <w:r>
        <w:rPr>
          <w:i/>
          <w:iCs/>
          <w:highlight w:val="none"/>
        </w:rPr>
        <w:t xml:space="preserve">проведения</w:t>
      </w:r>
      <w:r>
        <w:rPr>
          <w:highlight w:val="none"/>
        </w:rPr>
        <w:t xml:space="preserve"> на террит</w:t>
      </w:r>
      <w:r>
        <w:rPr>
          <w:highlight w:val="none"/>
        </w:rPr>
        <w:t xml:space="preserve">ории субъекта Российской Федерации мероприятий по предупреждению и ликвидации болезней животных, их лечению, защите населения от болезней, общих для человека и животных, за исключением вопросов, решение которых отнесено к ведению Российской Федерации.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highlight w:val="none"/>
        </w:rPr>
      </w:r>
      <w:r>
        <w:rPr>
          <w:highlight w:val="none"/>
        </w:rPr>
        <w:t xml:space="preserve">Аналогичные нормы, </w:t>
      </w:r>
      <w:r>
        <w:rPr>
          <w:highlight w:val="none"/>
        </w:rPr>
        <w:t xml:space="preserve">устанавливающие</w:t>
      </w:r>
      <w:r>
        <w:rPr>
          <w:highlight w:val="none"/>
        </w:rPr>
      </w:r>
      <w:r/>
      <w:r>
        <w:rPr>
          <w:highlight w:val="none"/>
        </w:rPr>
      </w:r>
      <w:r>
        <w:rPr>
          <w:highlight w:val="none"/>
        </w:rPr>
        <w:t xml:space="preserve"> </w:t>
      </w:r>
      <w:r>
        <w:rPr>
          <w:highlight w:val="none"/>
        </w:rPr>
        <w:t xml:space="preserve">организацию </w:t>
      </w:r>
      <w:r>
        <w:rPr>
          <w:i/>
          <w:iCs/>
          <w:highlight w:val="none"/>
        </w:rPr>
        <w:t xml:space="preserve">проведения</w:t>
      </w:r>
      <w:r>
        <w:rPr>
          <w:highlight w:val="none"/>
        </w:rPr>
        <w:t xml:space="preserve"> на территории субъекта Российской Федерации мероприятий по предупреждению и ликвидации болезней животных и их лечению,</w:t>
      </w:r>
      <w:r>
        <w:rPr>
          <w:highlight w:val="none"/>
        </w:rPr>
        <w:t xml:space="preserve"> определены Федеральным законом </w:t>
      </w:r>
      <w:r>
        <w:rPr>
          <w:highlight w:val="none"/>
        </w:rPr>
        <w:t xml:space="preserve">от 14 мая 1993 года № 4979-1</w:t>
      </w:r>
      <w:r/>
      <w:r>
        <w:rPr>
          <w:highlight w:val="none"/>
        </w:rPr>
        <w:t xml:space="preserve"> «О ветеринарии» </w:t>
      </w:r>
      <w:r>
        <w:t xml:space="preserve">(далее – Федеральный закон        </w:t>
      </w:r>
      <w:r>
        <w:t xml:space="preserve">№ </w:t>
      </w:r>
      <w:r/>
      <w:r>
        <w:rPr>
          <w:highlight w:val="none"/>
        </w:rPr>
        <w:t xml:space="preserve">4979-1</w:t>
      </w:r>
      <w:r/>
      <w:r>
        <w:t xml:space="preserve">)</w:t>
      </w:r>
      <w:r/>
      <w:r>
        <w:rPr>
          <w:highlight w:val="none"/>
        </w:rPr>
      </w:r>
      <w:r>
        <w:rPr>
          <w:highlight w:val="none"/>
        </w:rPr>
        <w:t xml:space="preserve">. </w:t>
      </w:r>
      <w:r>
        <w:rPr>
          <w:highlight w:val="none"/>
        </w:rPr>
      </w:r>
    </w:p>
    <w:p>
      <w:pPr>
        <w:ind w:firstLine="709"/>
        <w:jc w:val="both"/>
        <w:rPr>
          <w:highlight w:val="none"/>
          <w:lang w:eastAsia="ru-RU"/>
        </w:rPr>
      </w:pPr>
      <w:r>
        <w:rPr>
          <w:highlight w:val="none"/>
        </w:rPr>
      </w:r>
      <w:r>
        <w:rPr>
          <w:bCs/>
        </w:rPr>
      </w:r>
      <w:r>
        <w:t xml:space="preserve">С целью приведения в соответствие с единой терминологией</w:t>
      </w:r>
      <w:r/>
      <w:r>
        <w:rPr>
          <w:bCs/>
        </w:rPr>
        <w:t xml:space="preserve">, используемой в Федеральных законах </w:t>
      </w:r>
      <w:r/>
      <w:r>
        <w:t xml:space="preserve">№ </w:t>
      </w:r>
      <w:r>
        <w:t xml:space="preserve">414-ФЗ</w:t>
      </w:r>
      <w:r/>
      <w:r>
        <w:rPr>
          <w:bCs/>
        </w:rPr>
        <w:t xml:space="preserve"> и </w:t>
      </w:r>
      <w:r>
        <w:t xml:space="preserve">№ </w:t>
      </w:r>
      <w:r>
        <w:rPr>
          <w:highlight w:val="none"/>
        </w:rPr>
        <w:t xml:space="preserve">4979-1</w:t>
      </w:r>
      <w:r/>
      <w:r>
        <w:rPr>
          <w:bCs/>
        </w:rPr>
        <w:t xml:space="preserve"> вносятся изменения в Закон Новосибирской области </w:t>
      </w:r>
      <w:r>
        <w:rPr>
          <w:iCs/>
          <w:sz w:val="28"/>
          <w:szCs w:val="28"/>
        </w:rPr>
        <w:t xml:space="preserve">от 14 июля 2021 года № 103-ОЗ </w:t>
      </w:r>
      <w:r>
        <w:rPr>
          <w:b w:val="0"/>
          <w:bCs w:val="0"/>
          <w:i w:val="0"/>
          <w:iCs w:val="0"/>
        </w:rPr>
        <w:t xml:space="preserve">«</w:t>
      </w:r>
      <w:r>
        <w:rPr>
          <w:b w:val="0"/>
          <w:bCs w:val="0"/>
          <w:i w:val="0"/>
          <w:iCs w:val="0"/>
        </w:rPr>
        <w:t xml:space="preserve"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>
        <w:rPr>
          <w:b w:val="0"/>
          <w:bCs w:val="0"/>
          <w:i w:val="0"/>
          <w:iCs w:val="0"/>
          <w:szCs w:val="28"/>
          <w:lang w:eastAsia="ru-RU"/>
        </w:rPr>
        <w:t xml:space="preserve"> </w:t>
      </w:r>
      <w:r>
        <w:rPr>
          <w:b w:val="0"/>
          <w:bCs w:val="0"/>
          <w:i w:val="0"/>
          <w:iCs w:val="0"/>
        </w:rPr>
        <w:t xml:space="preserve">(дале</w:t>
      </w:r>
      <w:r>
        <w:t xml:space="preserve">е – </w:t>
      </w:r>
      <w:r>
        <w:t xml:space="preserve">Закон</w:t>
      </w:r>
      <w:r>
        <w:t xml:space="preserve"> Новосибирской области </w:t>
      </w:r>
      <w:r>
        <w:t xml:space="preserve">№ </w:t>
      </w:r>
      <w:r>
        <w:t xml:space="preserve">103</w:t>
      </w:r>
      <w:r>
        <w:t xml:space="preserve">-ОЗ</w:t>
      </w:r>
      <w:r>
        <w:t xml:space="preserve">)</w:t>
      </w:r>
      <w:r>
        <w:t xml:space="preserve">, которыми данные формулировки </w:t>
      </w:r>
      <w:r>
        <w:rPr>
          <w:highlight w:val="none"/>
          <w:lang w:eastAsia="ru-RU"/>
        </w:rPr>
      </w:r>
      <w:r>
        <w:rPr>
          <w:bCs/>
        </w:rPr>
        <w:t xml:space="preserve">приведены к единообразию.</w:t>
      </w:r>
      <w:r/>
      <w:r>
        <w:rPr>
          <w:bCs/>
          <w:szCs w:val="28"/>
          <w:highlight w:val="none"/>
          <w:lang w:eastAsia="ru-RU"/>
        </w:rPr>
      </w:r>
      <w:r>
        <w:rPr>
          <w:bCs/>
          <w:szCs w:val="28"/>
          <w:highlight w:val="none"/>
          <w:lang w:eastAsia="ru-RU"/>
        </w:rPr>
      </w:r>
      <w:r>
        <w:rPr>
          <w:highlight w:val="none"/>
          <w:lang w:eastAsia="ru-RU"/>
        </w:rPr>
      </w:r>
    </w:p>
    <w:p>
      <w:pPr>
        <w:pStyle w:val="854"/>
        <w:ind w:firstLine="708"/>
        <w:jc w:val="both"/>
        <w:tabs>
          <w:tab w:val="clear" w:pos="4153" w:leader="none"/>
          <w:tab w:val="clear" w:pos="8306" w:leader="none"/>
        </w:tabs>
      </w:pPr>
      <w:r>
        <w:t xml:space="preserve">Проект закона состоит из </w:t>
      </w:r>
      <w:r>
        <w:t xml:space="preserve">2</w:t>
      </w:r>
      <w:r>
        <w:t xml:space="preserve"> статей</w:t>
      </w:r>
      <w:r>
        <w:t xml:space="preserve">.</w:t>
      </w:r>
      <w:r>
        <w:t xml:space="preserve"> </w:t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Статьёй 1 </w:t>
      </w:r>
      <w:r>
        <w:t xml:space="preserve">вносятся </w:t>
      </w:r>
      <w:r>
        <w:t xml:space="preserve">изменения в </w:t>
      </w:r>
      <w:r>
        <w:t xml:space="preserve">Закон</w:t>
      </w:r>
      <w:r>
        <w:t xml:space="preserve"> </w:t>
      </w:r>
      <w:r>
        <w:t xml:space="preserve">Новосибирской области </w:t>
      </w:r>
      <w:r>
        <w:t xml:space="preserve">№ </w:t>
      </w:r>
      <w:r>
        <w:t xml:space="preserve">103</w:t>
      </w:r>
      <w:r>
        <w:t xml:space="preserve">-ОЗ</w:t>
      </w:r>
      <w:r>
        <w:t xml:space="preserve">.</w:t>
      </w:r>
      <w:r/>
    </w:p>
    <w:p>
      <w:pPr>
        <w:pStyle w:val="850"/>
        <w:ind w:firstLine="709"/>
        <w:jc w:val="both"/>
        <w:rPr>
          <w:highlight w:val="none"/>
        </w:rPr>
      </w:pPr>
      <w:r>
        <w:t xml:space="preserve">Стать</w:t>
      </w:r>
      <w:r>
        <w:t xml:space="preserve">я </w:t>
      </w:r>
      <w:r>
        <w:t xml:space="preserve">2</w:t>
      </w:r>
      <w:r>
        <w:t xml:space="preserve">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18</cp:revision>
  <dcterms:created xsi:type="dcterms:W3CDTF">2022-03-09T04:21:00Z</dcterms:created>
  <dcterms:modified xsi:type="dcterms:W3CDTF">2025-02-04T05:20:14Z</dcterms:modified>
  <cp:version>917504</cp:version>
</cp:coreProperties>
</file>